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D4E" w:rsidRPr="00F54205" w:rsidRDefault="00093CBD" w:rsidP="00F54205">
      <w:pPr>
        <w:spacing w:line="480" w:lineRule="auto"/>
        <w:rPr>
          <w:rFonts w:ascii="Times New Roman" w:eastAsia="Times New Roman" w:hAnsi="Times New Roman" w:cs="Times New Roman"/>
          <w:sz w:val="24"/>
          <w:szCs w:val="24"/>
        </w:rPr>
      </w:pPr>
      <w:r w:rsidRPr="00F54205">
        <w:rPr>
          <w:rFonts w:ascii="Times New Roman" w:eastAsia="Times New Roman" w:hAnsi="Times New Roman" w:cs="Times New Roman"/>
          <w:sz w:val="24"/>
          <w:szCs w:val="24"/>
        </w:rPr>
        <w:t>N</w:t>
      </w:r>
      <w:r w:rsidR="00FC0D4E" w:rsidRPr="00F54205">
        <w:rPr>
          <w:rFonts w:ascii="Times New Roman" w:eastAsia="Times New Roman" w:hAnsi="Times New Roman" w:cs="Times New Roman"/>
          <w:sz w:val="24"/>
          <w:szCs w:val="24"/>
        </w:rPr>
        <w:t>ame.</w:t>
      </w:r>
    </w:p>
    <w:p w:rsidR="00FC0D4E" w:rsidRPr="00F54205" w:rsidRDefault="00093CBD" w:rsidP="00F54205">
      <w:pPr>
        <w:spacing w:line="480" w:lineRule="auto"/>
        <w:rPr>
          <w:rFonts w:ascii="Times New Roman" w:eastAsia="Times New Roman" w:hAnsi="Times New Roman" w:cs="Times New Roman"/>
          <w:sz w:val="24"/>
          <w:szCs w:val="24"/>
        </w:rPr>
      </w:pPr>
      <w:r w:rsidRPr="00F54205">
        <w:rPr>
          <w:rFonts w:ascii="Times New Roman" w:eastAsia="Times New Roman" w:hAnsi="Times New Roman" w:cs="Times New Roman"/>
          <w:sz w:val="24"/>
          <w:szCs w:val="24"/>
        </w:rPr>
        <w:t>T</w:t>
      </w:r>
      <w:r w:rsidR="00FC0D4E" w:rsidRPr="00F54205">
        <w:rPr>
          <w:rFonts w:ascii="Times New Roman" w:eastAsia="Times New Roman" w:hAnsi="Times New Roman" w:cs="Times New Roman"/>
          <w:sz w:val="24"/>
          <w:szCs w:val="24"/>
        </w:rPr>
        <w:t>utor.</w:t>
      </w:r>
    </w:p>
    <w:p w:rsidR="00093CBD" w:rsidRPr="00F54205" w:rsidRDefault="00093CBD" w:rsidP="00F54205">
      <w:pPr>
        <w:spacing w:line="480" w:lineRule="auto"/>
        <w:rPr>
          <w:rFonts w:ascii="Times New Roman" w:eastAsia="Times New Roman" w:hAnsi="Times New Roman" w:cs="Times New Roman"/>
          <w:sz w:val="24"/>
          <w:szCs w:val="24"/>
        </w:rPr>
      </w:pPr>
      <w:r w:rsidRPr="00F54205">
        <w:rPr>
          <w:rFonts w:ascii="Times New Roman" w:eastAsia="Times New Roman" w:hAnsi="Times New Roman" w:cs="Times New Roman"/>
          <w:sz w:val="24"/>
          <w:szCs w:val="24"/>
        </w:rPr>
        <w:t>C</w:t>
      </w:r>
      <w:r w:rsidR="00FC0D4E" w:rsidRPr="00F54205">
        <w:rPr>
          <w:rFonts w:ascii="Times New Roman" w:eastAsia="Times New Roman" w:hAnsi="Times New Roman" w:cs="Times New Roman"/>
          <w:sz w:val="24"/>
          <w:szCs w:val="24"/>
        </w:rPr>
        <w:t>ourse</w:t>
      </w:r>
    </w:p>
    <w:p w:rsidR="00093CBD" w:rsidRPr="00F54205" w:rsidRDefault="00093CBD" w:rsidP="00F54205">
      <w:pPr>
        <w:spacing w:line="480" w:lineRule="auto"/>
        <w:rPr>
          <w:rFonts w:ascii="Times New Roman" w:eastAsia="Times New Roman" w:hAnsi="Times New Roman" w:cs="Times New Roman"/>
          <w:sz w:val="24"/>
          <w:szCs w:val="24"/>
        </w:rPr>
      </w:pPr>
      <w:r w:rsidRPr="00F54205">
        <w:rPr>
          <w:rFonts w:ascii="Times New Roman" w:eastAsia="Times New Roman" w:hAnsi="Times New Roman" w:cs="Times New Roman"/>
          <w:sz w:val="24"/>
          <w:szCs w:val="24"/>
        </w:rPr>
        <w:t>Date.</w:t>
      </w:r>
    </w:p>
    <w:p w:rsidR="00E67247" w:rsidRPr="00F54205" w:rsidRDefault="00E67247" w:rsidP="00F54205">
      <w:pPr>
        <w:spacing w:line="480" w:lineRule="auto"/>
        <w:jc w:val="center"/>
        <w:rPr>
          <w:rFonts w:ascii="Times New Roman" w:hAnsi="Times New Roman" w:cs="Times New Roman"/>
          <w:sz w:val="24"/>
          <w:szCs w:val="24"/>
        </w:rPr>
      </w:pPr>
      <w:r w:rsidRPr="00F54205">
        <w:rPr>
          <w:rFonts w:ascii="Times New Roman" w:eastAsia="Times New Roman" w:hAnsi="Times New Roman" w:cs="Times New Roman"/>
          <w:sz w:val="24"/>
          <w:szCs w:val="24"/>
        </w:rPr>
        <w:t>Problems and Solutions for the Coltan Debate.</w:t>
      </w:r>
    </w:p>
    <w:p w:rsidR="00F54205" w:rsidRPr="00F54205" w:rsidRDefault="00F54205" w:rsidP="00F54205">
      <w:pPr>
        <w:spacing w:line="480" w:lineRule="auto"/>
        <w:ind w:firstLine="720"/>
        <w:rPr>
          <w:rFonts w:ascii="Times New Roman" w:hAnsi="Times New Roman" w:cs="Times New Roman"/>
          <w:sz w:val="24"/>
          <w:szCs w:val="24"/>
        </w:rPr>
      </w:pPr>
      <w:r w:rsidRPr="00F54205">
        <w:rPr>
          <w:rFonts w:ascii="Times New Roman" w:hAnsi="Times New Roman" w:cs="Times New Roman"/>
          <w:sz w:val="24"/>
          <w:szCs w:val="24"/>
        </w:rPr>
        <w:t xml:space="preserve">The competition for Coltan in Congo has been increasing over the years, and it is arguably the basis for critical problems which lead to the coltan debate. Problems such as rape, murder, civil war, unsafe working environment, poor wages, and child labour, corruption among the military and politicians as well as smuggling are some of the critical problems faced by the miners. Apparently, Coltan is a very valuable mineral, and it is both used locally and internationally in the manufacture of consumer electronics such as smart phones, laptops, and pagers. The high value of coltan has motivated conflicts between the miners, the military, the government and foreign multinationals (Mantz 50). Majority of those who import the coltan take advantage of the corrupt officials and as such, the miners as well as the country; Congo do not maximize on the social-economic benefits of the mineral. Also, the employees are subjected to poor working conditions and poor remuneration and their dissatisfaction fuels the coltan conflicts. As such, it is evident that there are so many challenges associated with coltan mining, transportation, and sale. To solve the problem of harsh child labour among Coltan workers in the Republic of Congo, the central African Nation should set policies which regulate employment on the basis of age, improve the wages and remuneration in the mines and educate all stakeholders on the dangers of harsh child labour. </w:t>
      </w:r>
    </w:p>
    <w:p w:rsidR="00F54205" w:rsidRPr="00F54205" w:rsidRDefault="00F54205" w:rsidP="00F54205">
      <w:pPr>
        <w:spacing w:line="480" w:lineRule="auto"/>
        <w:ind w:firstLine="720"/>
        <w:rPr>
          <w:rFonts w:ascii="Times New Roman" w:hAnsi="Times New Roman" w:cs="Times New Roman"/>
          <w:sz w:val="24"/>
          <w:szCs w:val="24"/>
        </w:rPr>
      </w:pPr>
      <w:r w:rsidRPr="00F54205">
        <w:rPr>
          <w:rFonts w:ascii="Times New Roman" w:hAnsi="Times New Roman" w:cs="Times New Roman"/>
          <w:sz w:val="24"/>
          <w:szCs w:val="24"/>
        </w:rPr>
        <w:lastRenderedPageBreak/>
        <w:t>First, harsh child labor has increased in the mines and this is attributed to the fact that cartels and corrupt officials have taken control, disregarded the terms and conditions of the mines and this problem should be solved through the legislation of strict policies and laws that govern the mines. In an ideal situation, adults are the only people who should be allowed in the mines, but this is not the case in the Coltan Mines in Congo. The harsh child labour is noted as the number of children in the mines has increased and they work for very long hours, receive peanut wages, and some are not paid at all, and they are sometimes exposed to rape. The cartels and corrupt officials strive to exploit the children to work under tough conditions in the mines so that they are able to maximize the profits. Mantz, (50) argues that "age is no longer a factor of determining who works in the coltan mines as cartels and corrupt officials have taken control." This quotation means that the children have become very prone to the harsh working conditions in the mines as there are no strict regulations. It is even devastation to note that the officials prefer the minors so that they can exploit them for their advantage.  Jackson (45) acknowledges that "there is a dire need for the government to take control over the mines officially and regulate all the activities to ensure that children are not taken advantage of." This quotation asserts that underage children should not be allowed to work in the Coltan mines or take part in the sale and transportation of coltan. Setting stringent policies such as setting the minimum age of any employee working in the mines to be 18 years would scrape the cases of harsh child labour.</w:t>
      </w:r>
    </w:p>
    <w:p w:rsidR="00F54205" w:rsidRPr="00F54205" w:rsidRDefault="00F54205" w:rsidP="00F54205">
      <w:pPr>
        <w:spacing w:line="480" w:lineRule="auto"/>
        <w:ind w:firstLine="720"/>
        <w:rPr>
          <w:rFonts w:ascii="Times New Roman" w:hAnsi="Times New Roman" w:cs="Times New Roman"/>
          <w:sz w:val="24"/>
          <w:szCs w:val="24"/>
        </w:rPr>
      </w:pPr>
      <w:r w:rsidRPr="00F54205">
        <w:rPr>
          <w:rFonts w:ascii="Times New Roman" w:hAnsi="Times New Roman" w:cs="Times New Roman"/>
          <w:sz w:val="24"/>
          <w:szCs w:val="24"/>
        </w:rPr>
        <w:t xml:space="preserve">Secondly, the harsh child labour which is subjected to the miners should be solved through the improvement of wages and remunerations. It has been noted that poverty is a motivating factor which prompts parents to allow their children to the mines. The parents do not mind on the harsh conditions their children are exposed since their focus is usually to maximize on the household income through the mines. The parents receive low wages and hence, </w:t>
      </w:r>
      <w:r w:rsidRPr="00F54205">
        <w:rPr>
          <w:rFonts w:ascii="Times New Roman" w:hAnsi="Times New Roman" w:cs="Times New Roman"/>
          <w:sz w:val="24"/>
          <w:szCs w:val="24"/>
        </w:rPr>
        <w:lastRenderedPageBreak/>
        <w:t>encourage their children to take part in the mines, and this puts them at the risk of harsh child labour. Vázquez-Figueroa, (45) acknowledges that "the likelihood of a parent to work in the mines with his or her children has increased over the years, but the children suffer the most." This quotation clarifies that the mining of coltan affects the whole household and also hints that the poor wages and remunerations earned by the parents force them to look for alternatives or earning more and one of them is to engage their children in mining Coltan.  According to RTD (1) "increasing the daily wages and improving the remunerations among the parents will eradicate their quest to involve their children in the mines with an attempt to maximize wages and improve their life." This quotation is a clear indication that harsh child labour is linked to cases of poverty and poor wages at the family level. In most cases, the parent and the children do not worry about forced labour as long as they earn their daily bread. The problem of harsh child labour can, therefore, be solved by improving the wages of their parents as this will alienate the quest to involve children in the mines which comes with adverse consequences.</w:t>
      </w:r>
    </w:p>
    <w:p w:rsidR="00F54205" w:rsidRPr="00F54205" w:rsidRDefault="00F54205" w:rsidP="00F54205">
      <w:pPr>
        <w:spacing w:line="480" w:lineRule="auto"/>
        <w:ind w:firstLine="720"/>
        <w:rPr>
          <w:rFonts w:ascii="Times New Roman" w:hAnsi="Times New Roman" w:cs="Times New Roman"/>
          <w:sz w:val="24"/>
          <w:szCs w:val="24"/>
        </w:rPr>
      </w:pPr>
      <w:r w:rsidRPr="00F54205">
        <w:rPr>
          <w:rFonts w:ascii="Times New Roman" w:hAnsi="Times New Roman" w:cs="Times New Roman"/>
          <w:sz w:val="24"/>
          <w:szCs w:val="24"/>
        </w:rPr>
        <w:t xml:space="preserve">Lastly, the problem of harsh child labour should be averted by educating all stakeholders in the mines on the adverse effects of the practice. It is apparent that child labour is being taken as a norm in the Coltan mines in Congo and such ignorance can be eradicated by educating all the involved parties. Parents, guardians, the military officials, the transporters, adult miners, sellers as well the buyers are some of the involved parties in the mining of Coltan. It is apparent that these parties have turned a blind eye on the consequences of harsh child labour as they focus on the income from the mines. Lalji (34) argues that "parents to the children are partly to blame as a result of the harsh child labour since they allow children to take part in the mines freely." This affirmation confirms that the problem of harsh child labour emanates right from the households. When the parents remain ignorant of the consequences of the harsh child labour, </w:t>
      </w:r>
      <w:r w:rsidRPr="00F54205">
        <w:rPr>
          <w:rFonts w:ascii="Times New Roman" w:hAnsi="Times New Roman" w:cs="Times New Roman"/>
          <w:sz w:val="24"/>
          <w:szCs w:val="24"/>
        </w:rPr>
        <w:lastRenderedPageBreak/>
        <w:t>then the other parties are also likely to assume the consequences and exploit these children for their benefits. Melcher (624) argues that "there is a need to provide sustainable training and education on the need to protect children from taking part in the mining of coltan." Through education, all parties involved will be enlightened that they can make use of the adults in the supply chain of coltan and still make the desired profits. Education will also inform the parents that children ought to complete school and choose jobs and careers of their choice and not become coerced to work in the mines with meager salaries. Apparently, education on the effects of harsh child labour can be used as a medium for eradicating the problem per se.</w:t>
      </w:r>
    </w:p>
    <w:p w:rsidR="00093CBD" w:rsidRPr="00F54205" w:rsidRDefault="00F54205" w:rsidP="00F54205">
      <w:pPr>
        <w:spacing w:line="480" w:lineRule="auto"/>
        <w:ind w:firstLine="720"/>
        <w:rPr>
          <w:rFonts w:ascii="Times New Roman" w:hAnsi="Times New Roman" w:cs="Times New Roman"/>
          <w:sz w:val="24"/>
          <w:szCs w:val="24"/>
        </w:rPr>
      </w:pPr>
      <w:r w:rsidRPr="00F54205">
        <w:rPr>
          <w:rFonts w:ascii="Times New Roman" w:hAnsi="Times New Roman" w:cs="Times New Roman"/>
          <w:sz w:val="24"/>
          <w:szCs w:val="24"/>
        </w:rPr>
        <w:t>Conclusively, it is clear that harsh forced labour is a critical problem facing the Coltan miners in Congo and this challenge should be scraped through the implementation of stringent rules and regulations spelling the age limit of the miners to be 18, educating all stakeholders on the adverse implications of harsh child labour and by improving the wages and remunerations. The government should pass the stringent rules regarding the legal age in the mining and the supply chain of coltan. It is also recommendable for the government to arrest any person, companies or institutions liable for involving children in the coltan business. Improving the remunerations and wages especially among the parents of the children will end the quest to fight poverty through involving children in the mines. Arguably, when parents allow children to take part in the Coltan business, harsh child labour becomes inevitable. Also, education should be used as a sustainable and objective solution at the end of harsh child labour witnessed in the coltan mines. Education will arguably act as a core source of information on the negative implications of harsh child labour. Through education on the negative impacts of harsh child labour, only adults will be allowed to take part in the Coltan business.</w:t>
      </w:r>
    </w:p>
    <w:p w:rsidR="00F54205" w:rsidRDefault="00F54205" w:rsidP="00F54205">
      <w:pPr>
        <w:spacing w:line="480" w:lineRule="auto"/>
        <w:rPr>
          <w:rFonts w:ascii="Times New Roman" w:hAnsi="Times New Roman" w:cs="Times New Roman"/>
          <w:sz w:val="24"/>
          <w:szCs w:val="24"/>
        </w:rPr>
      </w:pPr>
    </w:p>
    <w:p w:rsidR="00B03386" w:rsidRPr="00F54205" w:rsidRDefault="00B03386" w:rsidP="00F54205">
      <w:pPr>
        <w:spacing w:line="480" w:lineRule="auto"/>
        <w:jc w:val="center"/>
        <w:rPr>
          <w:rFonts w:ascii="Times New Roman" w:hAnsi="Times New Roman" w:cs="Times New Roman"/>
          <w:sz w:val="24"/>
          <w:szCs w:val="24"/>
        </w:rPr>
      </w:pPr>
      <w:r w:rsidRPr="00F54205">
        <w:rPr>
          <w:rFonts w:ascii="Times New Roman" w:hAnsi="Times New Roman" w:cs="Times New Roman"/>
          <w:sz w:val="24"/>
          <w:szCs w:val="24"/>
        </w:rPr>
        <w:lastRenderedPageBreak/>
        <w:t>Works Cited.</w:t>
      </w:r>
    </w:p>
    <w:p w:rsidR="00B03386" w:rsidRPr="00F54205" w:rsidRDefault="00B03386" w:rsidP="00F54205">
      <w:pPr>
        <w:spacing w:after="0" w:line="480" w:lineRule="auto"/>
        <w:ind w:left="720" w:hanging="720"/>
        <w:rPr>
          <w:rFonts w:ascii="Times New Roman" w:eastAsia="Times New Roman" w:hAnsi="Times New Roman" w:cs="Times New Roman"/>
          <w:sz w:val="24"/>
          <w:szCs w:val="24"/>
        </w:rPr>
      </w:pPr>
      <w:r w:rsidRPr="00F54205">
        <w:rPr>
          <w:rFonts w:ascii="Times New Roman" w:eastAsia="Times New Roman" w:hAnsi="Times New Roman" w:cs="Times New Roman"/>
          <w:sz w:val="24"/>
          <w:szCs w:val="24"/>
        </w:rPr>
        <w:t xml:space="preserve">Jackson, Stephen. "Fortunes of War: the Coltan Trade in the Kivus." </w:t>
      </w:r>
      <w:r w:rsidRPr="00F54205">
        <w:rPr>
          <w:rFonts w:ascii="Times New Roman" w:eastAsia="Times New Roman" w:hAnsi="Times New Roman" w:cs="Times New Roman"/>
          <w:i/>
          <w:iCs/>
          <w:sz w:val="24"/>
          <w:szCs w:val="24"/>
        </w:rPr>
        <w:t>Power, Livelihoods and Conflict: Case-Studies in Political Economy Analysis for Humanitarian Action</w:t>
      </w:r>
      <w:r w:rsidRPr="00F54205">
        <w:rPr>
          <w:rFonts w:ascii="Times New Roman" w:eastAsia="Times New Roman" w:hAnsi="Times New Roman" w:cs="Times New Roman"/>
          <w:sz w:val="24"/>
          <w:szCs w:val="24"/>
        </w:rPr>
        <w:t xml:space="preserve"> (2003): 21-36.</w:t>
      </w:r>
      <w:r w:rsidRPr="00F54205">
        <w:rPr>
          <w:rFonts w:ascii="Times New Roman" w:hAnsi="Times New Roman" w:cs="Times New Roman"/>
          <w:sz w:val="24"/>
          <w:szCs w:val="24"/>
        </w:rPr>
        <w:t xml:space="preserve"> </w:t>
      </w:r>
      <w:r w:rsidRPr="00F54205">
        <w:rPr>
          <w:rFonts w:ascii="Times New Roman" w:eastAsia="Times New Roman" w:hAnsi="Times New Roman" w:cs="Times New Roman"/>
          <w:sz w:val="24"/>
          <w:szCs w:val="24"/>
        </w:rPr>
        <w:t>https://www.odi.org/publications/322-fortunes-war-coltan-trade-kivus.</w:t>
      </w:r>
    </w:p>
    <w:p w:rsidR="00B03386" w:rsidRPr="00F54205" w:rsidRDefault="00B03386" w:rsidP="00F54205">
      <w:pPr>
        <w:spacing w:after="0" w:line="480" w:lineRule="auto"/>
        <w:ind w:left="720" w:hanging="720"/>
        <w:rPr>
          <w:rFonts w:ascii="Times New Roman" w:eastAsia="Times New Roman" w:hAnsi="Times New Roman" w:cs="Times New Roman"/>
          <w:sz w:val="24"/>
          <w:szCs w:val="24"/>
        </w:rPr>
      </w:pPr>
      <w:r w:rsidRPr="00F54205">
        <w:rPr>
          <w:rFonts w:ascii="Times New Roman" w:eastAsia="Times New Roman" w:hAnsi="Times New Roman" w:cs="Times New Roman"/>
          <w:sz w:val="24"/>
          <w:szCs w:val="24"/>
        </w:rPr>
        <w:t xml:space="preserve">Lalji, Nadira. "The Resource Curse Revised: Conflict and Coltan in the Congo." </w:t>
      </w:r>
      <w:r w:rsidRPr="00F54205">
        <w:rPr>
          <w:rFonts w:ascii="Times New Roman" w:eastAsia="Times New Roman" w:hAnsi="Times New Roman" w:cs="Times New Roman"/>
          <w:i/>
          <w:iCs/>
          <w:sz w:val="24"/>
          <w:szCs w:val="24"/>
        </w:rPr>
        <w:t>Harvard International Review</w:t>
      </w:r>
      <w:r w:rsidRPr="00F54205">
        <w:rPr>
          <w:rFonts w:ascii="Times New Roman" w:eastAsia="Times New Roman" w:hAnsi="Times New Roman" w:cs="Times New Roman"/>
          <w:sz w:val="24"/>
          <w:szCs w:val="24"/>
        </w:rPr>
        <w:t xml:space="preserve"> 29.3 (2007): 34.</w:t>
      </w:r>
    </w:p>
    <w:p w:rsidR="00B03386" w:rsidRPr="00F54205" w:rsidRDefault="00B03386" w:rsidP="00F54205">
      <w:pPr>
        <w:spacing w:after="0" w:line="480" w:lineRule="auto"/>
        <w:ind w:left="720" w:hanging="720"/>
        <w:rPr>
          <w:rFonts w:ascii="Times New Roman" w:eastAsia="Times New Roman" w:hAnsi="Times New Roman" w:cs="Times New Roman"/>
          <w:sz w:val="24"/>
          <w:szCs w:val="24"/>
        </w:rPr>
      </w:pPr>
      <w:r w:rsidRPr="00F54205">
        <w:rPr>
          <w:rFonts w:ascii="Times New Roman" w:eastAsia="Times New Roman" w:hAnsi="Times New Roman" w:cs="Times New Roman"/>
          <w:sz w:val="24"/>
          <w:szCs w:val="24"/>
        </w:rPr>
        <w:t xml:space="preserve">Mantz, Jeffrey W. "Improvisational Economies: Coltan Production in the Eastern Congo." </w:t>
      </w:r>
      <w:r w:rsidRPr="00F54205">
        <w:rPr>
          <w:rFonts w:ascii="Times New Roman" w:eastAsia="Times New Roman" w:hAnsi="Times New Roman" w:cs="Times New Roman"/>
          <w:i/>
          <w:iCs/>
          <w:sz w:val="24"/>
          <w:szCs w:val="24"/>
        </w:rPr>
        <w:t>JSTOR</w:t>
      </w:r>
      <w:r w:rsidRPr="00F54205">
        <w:rPr>
          <w:rFonts w:ascii="Times New Roman" w:eastAsia="Times New Roman" w:hAnsi="Times New Roman" w:cs="Times New Roman"/>
          <w:sz w:val="24"/>
          <w:szCs w:val="24"/>
        </w:rPr>
        <w:t xml:space="preserve"> 16.1 (2008): 34-50.</w:t>
      </w:r>
    </w:p>
    <w:p w:rsidR="00F54205" w:rsidRDefault="00B03386" w:rsidP="00F54205">
      <w:pPr>
        <w:spacing w:after="0" w:line="480" w:lineRule="auto"/>
        <w:ind w:left="720" w:hanging="720"/>
        <w:rPr>
          <w:rFonts w:ascii="Times New Roman" w:eastAsia="Times New Roman" w:hAnsi="Times New Roman" w:cs="Times New Roman"/>
          <w:sz w:val="24"/>
          <w:szCs w:val="24"/>
        </w:rPr>
      </w:pPr>
      <w:r w:rsidRPr="00F54205">
        <w:rPr>
          <w:rFonts w:ascii="Times New Roman" w:eastAsia="Times New Roman" w:hAnsi="Times New Roman" w:cs="Times New Roman"/>
          <w:sz w:val="24"/>
          <w:szCs w:val="24"/>
        </w:rPr>
        <w:t xml:space="preserve">Melcher, F., et al. "Analytical Fingerprint of Columbite–Tantalite (coltan) Mineralization in Pegmatites: Focus on Africa." </w:t>
      </w:r>
      <w:r w:rsidRPr="00F54205">
        <w:rPr>
          <w:rFonts w:ascii="Times New Roman" w:eastAsia="Times New Roman" w:hAnsi="Times New Roman" w:cs="Times New Roman"/>
          <w:i/>
          <w:sz w:val="24"/>
          <w:szCs w:val="24"/>
        </w:rPr>
        <w:t xml:space="preserve">College Journal </w:t>
      </w:r>
      <w:r w:rsidRPr="00F54205">
        <w:rPr>
          <w:rFonts w:ascii="Times New Roman" w:eastAsia="Times New Roman" w:hAnsi="Times New Roman" w:cs="Times New Roman"/>
          <w:sz w:val="24"/>
          <w:szCs w:val="24"/>
        </w:rPr>
        <w:t>8 (2008): 615-624.</w:t>
      </w:r>
    </w:p>
    <w:p w:rsidR="00F54205" w:rsidRDefault="00B03386" w:rsidP="00F54205">
      <w:pPr>
        <w:spacing w:after="0" w:line="480" w:lineRule="auto"/>
        <w:ind w:left="720" w:hanging="720"/>
        <w:rPr>
          <w:rFonts w:ascii="Times New Roman" w:eastAsia="Times New Roman" w:hAnsi="Times New Roman" w:cs="Times New Roman"/>
          <w:sz w:val="24"/>
          <w:szCs w:val="24"/>
        </w:rPr>
      </w:pPr>
      <w:r w:rsidRPr="00F54205">
        <w:rPr>
          <w:rFonts w:ascii="Times New Roman" w:hAnsi="Times New Roman" w:cs="Times New Roman"/>
          <w:color w:val="2D3B45"/>
          <w:sz w:val="24"/>
          <w:szCs w:val="24"/>
        </w:rPr>
        <w:t>RTD. “</w:t>
      </w:r>
      <w:r w:rsidRPr="00F54205">
        <w:rPr>
          <w:rFonts w:ascii="Times New Roman" w:hAnsi="Times New Roman" w:cs="Times New Roman"/>
          <w:sz w:val="24"/>
          <w:szCs w:val="24"/>
        </w:rPr>
        <w:t>Congo, My Precious. The Curse of the Coltan Mines in Congo.” Online Video, Documentary. YouTube, 5 July.2017.</w:t>
      </w:r>
    </w:p>
    <w:p w:rsidR="00833FA0" w:rsidRPr="00F54205" w:rsidRDefault="00833FA0" w:rsidP="00F54205">
      <w:pPr>
        <w:spacing w:after="0" w:line="480" w:lineRule="auto"/>
        <w:ind w:left="720" w:hanging="720"/>
        <w:rPr>
          <w:rFonts w:ascii="Times New Roman" w:eastAsia="Times New Roman" w:hAnsi="Times New Roman" w:cs="Times New Roman"/>
          <w:sz w:val="24"/>
          <w:szCs w:val="24"/>
        </w:rPr>
      </w:pPr>
      <w:r w:rsidRPr="00F54205">
        <w:rPr>
          <w:rFonts w:ascii="Times New Roman" w:eastAsia="Times New Roman" w:hAnsi="Times New Roman" w:cs="Times New Roman"/>
          <w:sz w:val="24"/>
          <w:szCs w:val="24"/>
        </w:rPr>
        <w:t xml:space="preserve">Vázquez-Figueroa, Alberto. </w:t>
      </w:r>
      <w:r w:rsidRPr="00F54205">
        <w:rPr>
          <w:rFonts w:ascii="Times New Roman" w:eastAsia="Times New Roman" w:hAnsi="Times New Roman" w:cs="Times New Roman"/>
          <w:i/>
          <w:iCs/>
          <w:sz w:val="24"/>
          <w:szCs w:val="24"/>
        </w:rPr>
        <w:t>Coltan</w:t>
      </w:r>
      <w:r w:rsidRPr="00F54205">
        <w:rPr>
          <w:rFonts w:ascii="Times New Roman" w:eastAsia="Times New Roman" w:hAnsi="Times New Roman" w:cs="Times New Roman"/>
          <w:sz w:val="24"/>
          <w:szCs w:val="24"/>
        </w:rPr>
        <w:t>. Cambridge. John Hunt Publishing, 2009. Print</w:t>
      </w:r>
    </w:p>
    <w:sectPr w:rsidR="00833FA0" w:rsidRPr="00F54205" w:rsidSect="00D2128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1F71" w:rsidRDefault="00B21F71" w:rsidP="00FC0D4E">
      <w:pPr>
        <w:spacing w:after="0" w:line="240" w:lineRule="auto"/>
      </w:pPr>
      <w:r>
        <w:separator/>
      </w:r>
    </w:p>
  </w:endnote>
  <w:endnote w:type="continuationSeparator" w:id="1">
    <w:p w:rsidR="00B21F71" w:rsidRDefault="00B21F71" w:rsidP="00FC0D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1F71" w:rsidRDefault="00B21F71" w:rsidP="00FC0D4E">
      <w:pPr>
        <w:spacing w:after="0" w:line="240" w:lineRule="auto"/>
      </w:pPr>
      <w:r>
        <w:separator/>
      </w:r>
    </w:p>
  </w:footnote>
  <w:footnote w:type="continuationSeparator" w:id="1">
    <w:p w:rsidR="00B21F71" w:rsidRDefault="00B21F71" w:rsidP="00FC0D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D4E" w:rsidRPr="00CF08A2" w:rsidRDefault="00FC0D4E">
    <w:pPr>
      <w:pStyle w:val="Header"/>
      <w:rPr>
        <w:rFonts w:ascii="Times New Roman" w:hAnsi="Times New Roman" w:cs="Times New Roman"/>
        <w:sz w:val="24"/>
        <w:szCs w:val="24"/>
      </w:rPr>
    </w:pPr>
    <w:r>
      <w:t xml:space="preserve">                                                                                                                                                         </w:t>
    </w:r>
    <w:r w:rsidR="00CF08A2">
      <w:rPr>
        <w:rFonts w:ascii="Times New Roman" w:hAnsi="Times New Roman" w:cs="Times New Roman"/>
        <w:sz w:val="24"/>
        <w:szCs w:val="24"/>
      </w:rPr>
      <w:t xml:space="preserve">          </w:t>
    </w:r>
    <w:r w:rsidRPr="00CF08A2">
      <w:rPr>
        <w:rFonts w:ascii="Times New Roman" w:hAnsi="Times New Roman" w:cs="Times New Roman"/>
        <w:sz w:val="24"/>
        <w:szCs w:val="24"/>
      </w:rPr>
      <w:t xml:space="preserve">Surname </w:t>
    </w:r>
    <w:r w:rsidRPr="00CF08A2">
      <w:rPr>
        <w:rFonts w:ascii="Times New Roman" w:hAnsi="Times New Roman" w:cs="Times New Roman"/>
        <w:sz w:val="24"/>
        <w:szCs w:val="24"/>
      </w:rPr>
      <w:fldChar w:fldCharType="begin"/>
    </w:r>
    <w:r w:rsidRPr="00CF08A2">
      <w:rPr>
        <w:rFonts w:ascii="Times New Roman" w:hAnsi="Times New Roman" w:cs="Times New Roman"/>
        <w:sz w:val="24"/>
        <w:szCs w:val="24"/>
      </w:rPr>
      <w:instrText xml:space="preserve"> PAGE   \* MERGEFORMAT </w:instrText>
    </w:r>
    <w:r w:rsidRPr="00CF08A2">
      <w:rPr>
        <w:rFonts w:ascii="Times New Roman" w:hAnsi="Times New Roman" w:cs="Times New Roman"/>
        <w:sz w:val="24"/>
        <w:szCs w:val="24"/>
      </w:rPr>
      <w:fldChar w:fldCharType="separate"/>
    </w:r>
    <w:r w:rsidR="00F54205">
      <w:rPr>
        <w:rFonts w:ascii="Times New Roman" w:hAnsi="Times New Roman" w:cs="Times New Roman"/>
        <w:noProof/>
        <w:sz w:val="24"/>
        <w:szCs w:val="24"/>
      </w:rPr>
      <w:t>3</w:t>
    </w:r>
    <w:r w:rsidRPr="00CF08A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416FB"/>
    <w:rsid w:val="00093CBD"/>
    <w:rsid w:val="000E4E17"/>
    <w:rsid w:val="00196D5A"/>
    <w:rsid w:val="00266DC8"/>
    <w:rsid w:val="003A3BE1"/>
    <w:rsid w:val="003D105B"/>
    <w:rsid w:val="005360AF"/>
    <w:rsid w:val="005706FC"/>
    <w:rsid w:val="005E366F"/>
    <w:rsid w:val="00643412"/>
    <w:rsid w:val="00723449"/>
    <w:rsid w:val="00833FA0"/>
    <w:rsid w:val="00A416FB"/>
    <w:rsid w:val="00B03386"/>
    <w:rsid w:val="00B21F71"/>
    <w:rsid w:val="00C02607"/>
    <w:rsid w:val="00CF08A2"/>
    <w:rsid w:val="00D2128B"/>
    <w:rsid w:val="00D51064"/>
    <w:rsid w:val="00E67247"/>
    <w:rsid w:val="00F54205"/>
    <w:rsid w:val="00FC0D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C0D4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C0D4E"/>
  </w:style>
  <w:style w:type="paragraph" w:styleId="Footer">
    <w:name w:val="footer"/>
    <w:basedOn w:val="Normal"/>
    <w:link w:val="FooterChar"/>
    <w:uiPriority w:val="99"/>
    <w:semiHidden/>
    <w:unhideWhenUsed/>
    <w:rsid w:val="00FC0D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0D4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1310</Words>
  <Characters>7468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2019-04-16T16:55:00Z</dcterms:created>
  <dcterms:modified xsi:type="dcterms:W3CDTF">2019-04-16T17:05:00Z</dcterms:modified>
</cp:coreProperties>
</file>